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28" w:rsidRDefault="00AA0428">
      <w:pPr>
        <w:tabs>
          <w:tab w:val="center" w:pos="4153"/>
          <w:tab w:val="right" w:pos="8306"/>
        </w:tabs>
        <w:rPr>
          <w:lang w:eastAsia="lt-LT"/>
        </w:rPr>
      </w:pPr>
      <w:bookmarkStart w:id="0" w:name="_GoBack"/>
      <w:bookmarkEnd w:id="0"/>
    </w:p>
    <w:p w:rsidR="00AA0428" w:rsidRDefault="00AA0428">
      <w:pPr>
        <w:rPr>
          <w:b/>
          <w:szCs w:val="24"/>
          <w:lang w:eastAsia="lt-LT"/>
        </w:rPr>
      </w:pPr>
    </w:p>
    <w:p w:rsidR="00AA0428" w:rsidRDefault="00AA0428">
      <w:pPr>
        <w:rPr>
          <w:b/>
          <w:szCs w:val="24"/>
          <w:lang w:eastAsia="lt-LT"/>
        </w:rPr>
      </w:pPr>
    </w:p>
    <w:p w:rsidR="00AA0428" w:rsidRDefault="00DA783F">
      <w:pPr>
        <w:jc w:val="center"/>
        <w:rPr>
          <w:lang w:eastAsia="lt-LT"/>
        </w:rPr>
      </w:pPr>
      <w:r>
        <w:rPr>
          <w:rFonts w:ascii="Arial" w:hAnsi="Arial" w:cs="Arial"/>
          <w:noProof/>
          <w:lang w:eastAsia="lt-LT"/>
        </w:rPr>
        <w:drawing>
          <wp:inline distT="0" distB="0" distL="0" distR="0" wp14:anchorId="342C5421" wp14:editId="23A44351">
            <wp:extent cx="542925" cy="5143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28" w:rsidRDefault="00AA0428">
      <w:pPr>
        <w:rPr>
          <w:sz w:val="10"/>
          <w:szCs w:val="10"/>
        </w:rPr>
      </w:pPr>
    </w:p>
    <w:p w:rsidR="00AA0428" w:rsidRDefault="00DA783F">
      <w:pPr>
        <w:keepNext/>
        <w:jc w:val="center"/>
        <w:rPr>
          <w:rFonts w:ascii="Arial" w:hAnsi="Arial" w:cs="Arial"/>
          <w:caps/>
          <w:sz w:val="36"/>
          <w:lang w:eastAsia="lt-LT"/>
        </w:rPr>
      </w:pPr>
      <w:r>
        <w:rPr>
          <w:rFonts w:ascii="Arial" w:hAnsi="Arial" w:cs="Arial"/>
          <w:caps/>
          <w:sz w:val="36"/>
          <w:lang w:eastAsia="lt-LT"/>
        </w:rPr>
        <w:t>Lietuvos Respublikos Vyriausybė</w:t>
      </w:r>
    </w:p>
    <w:p w:rsidR="00AA0428" w:rsidRDefault="00AA0428">
      <w:pPr>
        <w:jc w:val="center"/>
        <w:rPr>
          <w:caps/>
          <w:lang w:eastAsia="lt-LT"/>
        </w:rPr>
      </w:pPr>
    </w:p>
    <w:p w:rsidR="00AA0428" w:rsidRDefault="00DA783F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nutarimas</w:t>
      </w:r>
    </w:p>
    <w:p w:rsidR="00AA0428" w:rsidRDefault="00DA783F">
      <w:pPr>
        <w:jc w:val="center"/>
        <w:rPr>
          <w:b/>
          <w:szCs w:val="24"/>
          <w:lang w:eastAsia="lt-LT"/>
        </w:rPr>
      </w:pPr>
      <w:r>
        <w:rPr>
          <w:b/>
          <w:caps/>
          <w:lang w:eastAsia="lt-LT"/>
        </w:rPr>
        <w:t>DĖL karantino lietuvos respublikoS TERITORIJOJE PASKELBIMO</w:t>
      </w:r>
    </w:p>
    <w:p w:rsidR="00AA0428" w:rsidRDefault="00AA0428">
      <w:pPr>
        <w:tabs>
          <w:tab w:val="center" w:pos="4153"/>
          <w:tab w:val="right" w:pos="8306"/>
        </w:tabs>
        <w:rPr>
          <w:lang w:eastAsia="lt-LT"/>
        </w:rPr>
      </w:pPr>
    </w:p>
    <w:p w:rsidR="00AA0428" w:rsidRDefault="00DA783F">
      <w:pPr>
        <w:jc w:val="center"/>
        <w:rPr>
          <w:lang w:eastAsia="lt-LT"/>
        </w:rPr>
      </w:pPr>
      <w:r>
        <w:rPr>
          <w:lang w:eastAsia="lt-LT"/>
        </w:rPr>
        <w:t>2020 kovo 14 d. Nr. 207</w:t>
      </w:r>
    </w:p>
    <w:p w:rsidR="00AA0428" w:rsidRDefault="00DA783F">
      <w:pPr>
        <w:jc w:val="center"/>
        <w:rPr>
          <w:lang w:eastAsia="lt-LT"/>
        </w:rPr>
      </w:pPr>
      <w:r>
        <w:rPr>
          <w:lang w:eastAsia="lt-LT"/>
        </w:rPr>
        <w:t>Vilnius</w:t>
      </w:r>
    </w:p>
    <w:p w:rsidR="00AA0428" w:rsidRDefault="00AA0428">
      <w:pPr>
        <w:jc w:val="center"/>
        <w:rPr>
          <w:lang w:eastAsia="lt-LT"/>
        </w:rPr>
      </w:pPr>
    </w:p>
    <w:p w:rsidR="00AA0428" w:rsidRDefault="00DA783F">
      <w:pPr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lang w:eastAsia="lt-LT"/>
        </w:rPr>
        <w:t>Vadovaudamasi Lietuvos Respublikos žmonių užkrečiamųjų ligų profilaktikos ir kontrolės įstatymo 21 straipsnio 3 dalies 1 punktu, Lietuvos Respublikos civilinės saugos įstatymo 21 straipsnio 2 dalies 1 punktu, atsižvelgdama į nepalankią epideminę COVID-19 (</w:t>
      </w:r>
      <w:r>
        <w:rPr>
          <w:lang w:eastAsia="lt-LT"/>
        </w:rPr>
        <w:t xml:space="preserve">koronavirusinės infekcijos) situaciją ir sveikatos apsaugos ministro teikimą, taip pat į Lietuvos Respublikos Vyriausybės ekstremalių situacijų komisijos 2020 m. kovo 14 d. pasiūlymą, </w:t>
      </w:r>
      <w:r>
        <w:rPr>
          <w:szCs w:val="24"/>
          <w:lang w:eastAsia="lt-LT"/>
        </w:rPr>
        <w:t>Lietuvos Respublikos Vyriausybė</w:t>
      </w:r>
      <w:r>
        <w:rPr>
          <w:spacing w:val="100"/>
          <w:szCs w:val="24"/>
          <w:lang w:eastAsia="lt-LT"/>
        </w:rPr>
        <w:t xml:space="preserve"> nutari</w:t>
      </w:r>
      <w:r>
        <w:rPr>
          <w:szCs w:val="24"/>
          <w:lang w:eastAsia="lt-LT"/>
        </w:rPr>
        <w:t>a:</w:t>
      </w:r>
    </w:p>
    <w:p w:rsidR="00AA0428" w:rsidRDefault="00DA783F">
      <w:pPr>
        <w:spacing w:line="360" w:lineRule="atLeast"/>
        <w:ind w:left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Paskelbti trečią (visiškos p</w:t>
      </w:r>
      <w:r>
        <w:rPr>
          <w:szCs w:val="24"/>
          <w:lang w:eastAsia="lt-LT"/>
        </w:rPr>
        <w:t>arengties) civilinės saugos sistemos parengties lygį.</w:t>
      </w:r>
    </w:p>
    <w:p w:rsidR="00AA0428" w:rsidRDefault="00DA783F">
      <w:pPr>
        <w:spacing w:line="360" w:lineRule="atLeast"/>
        <w:ind w:left="720"/>
        <w:jc w:val="both"/>
        <w:rPr>
          <w:szCs w:val="24"/>
          <w:lang w:eastAsia="lt-LT"/>
        </w:rPr>
      </w:pPr>
      <w:r>
        <w:rPr>
          <w:lang w:eastAsia="lt-LT"/>
        </w:rPr>
        <w:t>2. Paskelbti visoje Lietuvos Respublikos teritorijoje karantiną.</w:t>
      </w:r>
    </w:p>
    <w:p w:rsidR="00AA0428" w:rsidRDefault="00DA783F">
      <w:pPr>
        <w:tabs>
          <w:tab w:val="left" w:pos="1418"/>
        </w:tabs>
        <w:spacing w:line="360" w:lineRule="atLeast"/>
        <w:ind w:left="720"/>
        <w:jc w:val="both"/>
        <w:rPr>
          <w:lang w:eastAsia="lt-LT"/>
        </w:rPr>
      </w:pPr>
      <w:r>
        <w:rPr>
          <w:lang w:eastAsia="lt-LT"/>
        </w:rPr>
        <w:t>3. Patvirtinti šį karantino režimą: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b/>
          <w:bCs/>
          <w:lang w:eastAsia="lt-LT"/>
        </w:rPr>
      </w:pPr>
      <w:r>
        <w:rPr>
          <w:b/>
          <w:bCs/>
          <w:lang w:eastAsia="lt-LT"/>
        </w:rPr>
        <w:t>3.1. Dėl judėjimo per sieną ir šalies viduje: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3.1.1</w:t>
      </w:r>
      <w:r>
        <w:rPr>
          <w:lang w:eastAsia="lt-LT"/>
        </w:rPr>
        <w:t xml:space="preserve">. Uždrausti užsieniečiams atvykti į Lietuvos Respubliką, išskyrus </w:t>
      </w:r>
      <w:r>
        <w:rPr>
          <w:color w:val="000000"/>
          <w:lang w:eastAsia="lt-LT"/>
        </w:rPr>
        <w:t>vairuotojus ir įgulų narius</w:t>
      </w:r>
      <w:r>
        <w:rPr>
          <w:lang w:eastAsia="lt-LT"/>
        </w:rPr>
        <w:t>, kai vykdomas komercinis ir (ar) tarptautinis krovinių vežimas</w:t>
      </w:r>
      <w:r>
        <w:rPr>
          <w:color w:val="000000"/>
          <w:lang w:eastAsia="lt-LT"/>
        </w:rPr>
        <w:t xml:space="preserve">, </w:t>
      </w:r>
      <w:r>
        <w:rPr>
          <w:bCs/>
          <w:color w:val="000000"/>
          <w:lang w:eastAsia="lt-LT"/>
        </w:rPr>
        <w:t>asmenis, turinčius teisę gyventi Lietuvos Respublikoje,</w:t>
      </w:r>
      <w:r>
        <w:rPr>
          <w:color w:val="000000"/>
          <w:lang w:eastAsia="lt-LT"/>
        </w:rPr>
        <w:t xml:space="preserve"> asmenis, turinčius imunitetų ir privilegijų pagal 1961 m. Vienos konvenciją dėl diplomatinių santykių ir 1963 m. Vienos konvenciją dėl konsulinių santykių, </w:t>
      </w:r>
      <w:r>
        <w:rPr>
          <w:bCs/>
          <w:color w:val="000000"/>
          <w:lang w:eastAsia="lt-LT"/>
        </w:rPr>
        <w:t>ir NATO bei  NATO šalių kariniuose vienetuose tarnaujančius asmenis ir juos aptarnaujantį personalą</w:t>
      </w:r>
      <w:r>
        <w:rPr>
          <w:bCs/>
          <w:color w:val="000000"/>
          <w:lang w:eastAsia="lt-LT"/>
        </w:rPr>
        <w:t xml:space="preserve"> bei jų šeimos narius. 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3.1.2. Sienos kirtimas vykdomas per šiuos tarptautinius sienos kirtimo punktus: Kalvarijos</w:t>
      </w:r>
      <w:r w:rsidRPr="00455EC3">
        <w:rPr>
          <w:lang w:eastAsia="lt-LT"/>
        </w:rPr>
        <w:t>–Budzisko</w:t>
      </w:r>
      <w:r>
        <w:rPr>
          <w:lang w:eastAsia="lt-LT"/>
        </w:rPr>
        <w:t>, Saločių–Grenstalės, Būtingės–Rucavos, Smėlynės–Medumės, Medininkų–Kamenyj Logo, Raigardo–Privalkos, Kybartų–Černyševskojės, Panemun</w:t>
      </w:r>
      <w:r>
        <w:rPr>
          <w:lang w:eastAsia="lt-LT"/>
        </w:rPr>
        <w:t>ės–Sovetsko, Vilniaus, Kauno, Palangos, Šiaulių oro uostus ir Klaipėdos valstybinį jūrų uostą.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szCs w:val="24"/>
          <w:lang w:eastAsia="lt-LT"/>
        </w:rPr>
        <w:t>3.1.3. Iki 2020 m. kovo 19 d. 00:00 val. leidžiamas asmenų, grįžtančių į savo gyvenamosios vietos valstybę, tranzitas per Lietuvos Respublikos teritoriją be būti</w:t>
      </w:r>
      <w:r>
        <w:rPr>
          <w:szCs w:val="24"/>
          <w:lang w:eastAsia="lt-LT"/>
        </w:rPr>
        <w:t>nojo sustojimo.</w:t>
      </w:r>
    </w:p>
    <w:p w:rsidR="00AA0428" w:rsidRDefault="00DA783F">
      <w:pPr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3.1.4. Uždrausti Lietuvos Respublikos piliečiams išvykti iš Lietuvos Respublikos, išskyrus atvejus, kai jie grįžta į savo gyvenamąją vietą, vyksta į savo darbo vietą, taip pat Valstybės sienos apsaugos tarnybos prie Lietuvos Respublikos vid</w:t>
      </w:r>
      <w:r>
        <w:rPr>
          <w:lang w:eastAsia="lt-LT"/>
        </w:rPr>
        <w:t>aus reikalų ministerijos vadovo ar jo įgalioto asmens leidimu.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3.1.5. Asmenims, grįžusiems iš užsienio valstybių, privaloma 14 dienų izoliacija. 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lastRenderedPageBreak/>
        <w:t>3.1.6. Ribojamas keliaujančiųjų tarpmiestinio ir priemiestinio reguliaraus susisiekimo keleivinio transporto m</w:t>
      </w:r>
      <w:r>
        <w:rPr>
          <w:lang w:eastAsia="lt-LT"/>
        </w:rPr>
        <w:t xml:space="preserve">aršrutais intensyvumas – leidžiama užimti tik sėdimas vietas ne mažesniu kaip </w:t>
      </w:r>
      <w:r w:rsidRPr="00455EC3">
        <w:rPr>
          <w:lang w:eastAsia="lt-LT"/>
        </w:rPr>
        <w:t>1 metro atstumu. Turi būti taikomos ypatingos saugos priemonės – transporto priemonės dezinfekuojamos kiekvieno maršruto pradinėje ir galinėje stotelėse. Šią nuostatą rekomenduoj</w:t>
      </w:r>
      <w:r w:rsidRPr="00455EC3">
        <w:rPr>
          <w:lang w:eastAsia="lt-LT"/>
        </w:rPr>
        <w:t>ama taikyti ir vykdant keleivių vežimą viešuoju miesto transportu.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val="en-GB" w:eastAsia="lt-LT"/>
        </w:rPr>
        <w:t>3.1.7. Draudžiamas k</w:t>
      </w:r>
      <w:r>
        <w:rPr>
          <w:lang w:eastAsia="lt-LT"/>
        </w:rPr>
        <w:t>ruizinių laivų patekimas į Klaipėdos valstybinį jūrų uostą.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3.1.8. Prekių judėjimas neribojamas.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b/>
          <w:bCs/>
          <w:lang w:eastAsia="lt-LT"/>
        </w:rPr>
        <w:t>3.2. Dėl viešojo ir privataus sektoriaus veiklos:</w:t>
      </w:r>
      <w:r>
        <w:rPr>
          <w:color w:val="FF0000"/>
          <w:lang w:eastAsia="lt-LT"/>
        </w:rPr>
        <w:t xml:space="preserve"> 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3.2.1. Valstybės ir s</w:t>
      </w:r>
      <w:r>
        <w:rPr>
          <w:lang w:eastAsia="lt-LT"/>
        </w:rPr>
        <w:t>avivaldybių institucijose, įstaigose, valstybės ir savivaldybių valdomose įmonėse darbas organizuojamas ir klientai aptarnaujami nuotoliniu būdu, išskyrus atvejus, kai būtina atitinkamas funkcijas atlikti darbo vietoje. Privaloma užtikrinti būtinųjų neatid</w:t>
      </w:r>
      <w:r>
        <w:rPr>
          <w:lang w:eastAsia="lt-LT"/>
        </w:rPr>
        <w:t xml:space="preserve">ėliotinų funkcijų atlikimą. Privačiajam sektoriui rekomenduojama dirbti tokia pat darbo organizavimo forma kaip ir viešajame sektoriuje. 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en-GB"/>
        </w:rPr>
      </w:pPr>
      <w:r>
        <w:rPr>
          <w:lang w:eastAsia="lt-LT"/>
        </w:rPr>
        <w:t xml:space="preserve">3.2.2. Draudžiamas kultūros, laisvalaikio, pramogų, sporto įstaigų lankymas ir fizinis lankytojų aptarnavimas.  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3.2.3</w:t>
      </w:r>
      <w:r>
        <w:rPr>
          <w:lang w:eastAsia="lt-LT"/>
        </w:rPr>
        <w:t>. Draudžiami visi atvirose ir uždarose erdvėse organizuojami renginiai bei susibūrimai.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3.2.4. Draudžiama sveikatinimo paslaugų centrų, sanatorijų, poilsio centrų veikla, išskyrus indvidualias reabilitacijos paslaugas, kurios susijusios su gydymu.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3.2.5. V</w:t>
      </w:r>
      <w:r>
        <w:rPr>
          <w:lang w:eastAsia="lt-LT"/>
        </w:rPr>
        <w:t>iešbučių ir kitos patalpos naudojamos  asmenims izoliuoti atskiru savivaldybių ir apgyvendinimo paslaugų teikėjų susitarimu arba savivaldybės administracijos direktoriaus reikalavimu.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3.2.6. Draudžiama viešojo maitinimo įstaigų, restoranų, kavinių, barų, n</w:t>
      </w:r>
      <w:r>
        <w:rPr>
          <w:lang w:eastAsia="lt-LT"/>
        </w:rPr>
        <w:t>aktinių klubų ir kitų pasilinksminimo vietų veikla, išskyrus, kai maistą galima išsinešti arba kitais būdais jį pristatyti gyventojams.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3.2.7. Draudžiama parduotuvių, prekybos ir (arba) pramogų centrų, išskyrus maisto, veterinarijos, vaistinių ir optikos p</w:t>
      </w:r>
      <w:r>
        <w:rPr>
          <w:lang w:eastAsia="lt-LT"/>
        </w:rPr>
        <w:t>rekių pardavimą, veikla, taip pat turgaviečių, išskyrus maisto, veikla. Šis draudimas netaikomas internetinei prekybai ir kai prekės pristatomos gyventojams.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3.2.8. Draudžiama teikti grožio paslaugas.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3.2.9. Draudžiama lošimo namų (kazino) ir lošimo automa</w:t>
      </w:r>
      <w:r>
        <w:rPr>
          <w:lang w:eastAsia="lt-LT"/>
        </w:rPr>
        <w:t>tų salonų veikla.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3.2.10. Draudžiamas nuteistųjų ir suimtųjų lankymas, išskyrus jų susitikimus su gynėjais.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3.2.11. Rekomenduojama atsiskaityti ne grynaisiais pinigais.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b/>
          <w:bCs/>
          <w:lang w:eastAsia="lt-LT"/>
        </w:rPr>
      </w:pPr>
      <w:r>
        <w:rPr>
          <w:b/>
          <w:bCs/>
          <w:lang w:eastAsia="lt-LT"/>
        </w:rPr>
        <w:t>3.3. Dėl švietimo įstaigų darbo organizavimo.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Stabdomi ugdymo ir vaikų priežiūros </w:t>
      </w:r>
      <w:r>
        <w:rPr>
          <w:lang w:eastAsia="lt-LT"/>
        </w:rPr>
        <w:t>procesas bei švietimo veikla visose švietimo įstaigose, dienos ir užimtumo centruose, organizuojant ugdymo procesą nuotoliniu būdu.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b/>
          <w:bCs/>
          <w:lang w:eastAsia="lt-LT"/>
        </w:rPr>
        <w:t>3.4. Dėl sveikatos priežiūros įstaigų darbo organizavimo: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3.4.1. Sveikatos priežiūros specialistų, aukštųjų universitetinių </w:t>
      </w:r>
      <w:r>
        <w:rPr>
          <w:lang w:eastAsia="lt-LT"/>
        </w:rPr>
        <w:t xml:space="preserve">ir neuniversitetinių mokyklų studentų, rezidentų ir infrastruktūros pasitelkimas, nesvarbu, koks jų pavaldumas. 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3.4.2. Stacionarinių asmens sveikatos priežiūros paslaugų teikimas: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3.4.2.1. Veiklos perorganizavimas valdant pacientų srautus, infrastruktūrą </w:t>
      </w:r>
      <w:r>
        <w:rPr>
          <w:lang w:eastAsia="lt-LT"/>
        </w:rPr>
        <w:t>ir materialiuosius bei žmogiškuosius išteklius.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3.4.2.2. Planinių operacijų atidėjimas, išskyrus pagalbą ir sveikatos priežiūros paslaugas, kurių nesuteikus pacientui atsirastų būtinosios medicinos pagalbos poreikis arba labai pablogėtų jo būklė.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3.4.2.3. </w:t>
      </w:r>
      <w:r>
        <w:rPr>
          <w:lang w:eastAsia="lt-LT"/>
        </w:rPr>
        <w:t>Planinių hospitalizacijų dėl kitų diagnostinių ir gydomųjų paslaugų atidėjimas.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3.4.2.4. Pacientų lankymo draudimas, išskyrus terminalinės būklės pacientų ir vaikų iki </w:t>
      </w:r>
      <w:r w:rsidRPr="00455EC3">
        <w:rPr>
          <w:lang w:eastAsia="lt-LT"/>
        </w:rPr>
        <w:t>14 met</w:t>
      </w:r>
      <w:r>
        <w:rPr>
          <w:lang w:eastAsia="lt-LT"/>
        </w:rPr>
        <w:t xml:space="preserve">ų lankymą gydančio gydytojo leidimu. 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3.4.2.5. Medicininės reabilitacijos paslaugų</w:t>
      </w:r>
      <w:r>
        <w:rPr>
          <w:lang w:eastAsia="lt-LT"/>
        </w:rPr>
        <w:t xml:space="preserve"> teikimo ribojimas, išskyrus tuos atvejus, kurių nesuteikimas lemtų paciento neįgalumą.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3.4.3. Ambulatorinių asmens sveikatos priežiūros paslaugų teikimas: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3.4.3.1. Paslaugų teikimas nuotoliniu būdu: vaistų ir medicinos pagalbos priemonių išrašymas, konsul</w:t>
      </w:r>
      <w:r>
        <w:rPr>
          <w:lang w:eastAsia="lt-LT"/>
        </w:rPr>
        <w:t>tacijos, elektroninių nedarbingumo pažymėjimų išdavimas ir tęsimas, gydytojų tarpusavio konsultacijos, būtinųjų tyrimų paskyrimas, slaugytojo konsultacijos.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3.4.3.2. Planinių konsultacijų, diagnostinių, profilaktinių ir gydomųjų paslaugų atidėjimas, </w:t>
      </w:r>
      <w:r>
        <w:rPr>
          <w:lang w:eastAsia="lt-LT"/>
        </w:rPr>
        <w:t>išskyrus pagalbą ir paslaugas, kurių nesuteikus pacientui atsirastų poreikis būtinąjai medicinos pagalbai arba reikšmingai pablogėtų paciento būklė.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3.4.3.3. Paslaugų namuose teikimo ribojimas, išskyrus ambulatorinės slaugos ir paliatyvios pagalbos paslaug</w:t>
      </w:r>
      <w:r>
        <w:rPr>
          <w:lang w:eastAsia="lt-LT"/>
        </w:rPr>
        <w:t>as namuose.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3.4.3.4. Ambulatorinių medicininės reabilitacijos paslaugų teikimo atidėjimas.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3.4.3.5. Profilaktinių patikrinimų ir prevencinių programų vykdymo atidėjimas.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3.4.3.6. Planinių skiepijimų perorganizavimas, numatant pacientų srautų valdymą.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3.4.4</w:t>
      </w:r>
      <w:r>
        <w:rPr>
          <w:lang w:eastAsia="lt-LT"/>
        </w:rPr>
        <w:t>. Odontologijos paslaugų teikimo atidėjimas, išskyrus būtinosios medicinos pagalbos užtikrinimą.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3.4.5. Vaistinių veiklos perorganizavimas, siekiant išvengti tiesioginio asmenų kontakto.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3.4.6. Visuomenės sveikata: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3.4.6.1. Visuomenės sveikatos stiprinimo,</w:t>
      </w:r>
      <w:r>
        <w:rPr>
          <w:lang w:eastAsia="lt-LT"/>
        </w:rPr>
        <w:t xml:space="preserve"> lėtinių neinfekcinių ligų prevencijos priemonių atidėjimas. 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3.4.6.2. Visuomenės sveikatos saugos kontrolės planinių patikrinimų atidėjimas.</w:t>
      </w:r>
    </w:p>
    <w:p w:rsidR="00AA0428" w:rsidRDefault="00DA783F">
      <w:pPr>
        <w:tabs>
          <w:tab w:val="left" w:pos="1418"/>
          <w:tab w:val="left" w:pos="1560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>3.4.6.3. Kitų nebūtinų visuomenės sveikatos priemonių atidėjimas.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b/>
          <w:bCs/>
          <w:szCs w:val="24"/>
          <w:lang w:eastAsia="lt-LT"/>
        </w:rPr>
      </w:pPr>
      <w:r>
        <w:rPr>
          <w:rFonts w:eastAsia="Calibri"/>
          <w:b/>
          <w:bCs/>
          <w:szCs w:val="22"/>
          <w:lang w:eastAsia="lt-LT"/>
        </w:rPr>
        <w:t xml:space="preserve">3.5. </w:t>
      </w:r>
      <w:r>
        <w:rPr>
          <w:b/>
          <w:bCs/>
          <w:sz w:val="22"/>
          <w:szCs w:val="22"/>
          <w:lang w:eastAsia="lt-LT"/>
        </w:rPr>
        <w:t>Dėl s</w:t>
      </w:r>
      <w:r>
        <w:rPr>
          <w:b/>
          <w:bCs/>
          <w:szCs w:val="24"/>
          <w:lang w:eastAsia="lt-LT"/>
        </w:rPr>
        <w:t>ocialines paslaugas teikiančių įstaigų</w:t>
      </w:r>
      <w:r>
        <w:rPr>
          <w:b/>
          <w:bCs/>
          <w:szCs w:val="24"/>
          <w:lang w:eastAsia="lt-LT"/>
        </w:rPr>
        <w:t xml:space="preserve"> darbo organizavimo:</w:t>
      </w:r>
    </w:p>
    <w:p w:rsidR="00AA0428" w:rsidRDefault="00DA783F">
      <w:pPr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3.5.1. Draudžiamas lankymas visose stacionariose socialinių paslaugų įstaigose, šeimynose, grupinio ir bendruomeninio gyvenimo namuose.</w:t>
      </w:r>
    </w:p>
    <w:p w:rsidR="00AA0428" w:rsidRDefault="00DA783F">
      <w:pPr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3.5.2. Kitose socialinių paslaugų įstaigose kontaktuoti su klientu leidžiama tik užtikrinant </w:t>
      </w:r>
      <w:r>
        <w:rPr>
          <w:szCs w:val="24"/>
          <w:lang w:eastAsia="lt-LT"/>
        </w:rPr>
        <w:t>būtinąsias socialines paslaugas.</w:t>
      </w:r>
    </w:p>
    <w:p w:rsidR="00AA0428" w:rsidRDefault="00DA783F">
      <w:pPr>
        <w:spacing w:line="360" w:lineRule="atLeast"/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3.5.3. Draudžiama veikla vaikų, žmonių su negalia ir pagyvenusių žmonių dienos ir užimtumo centruose. Savivaldybių administracijos privalo užtikrinti vaikų ir žmonių su negalia priežiūrą išimtiniais atvejais įstaigose, jeig</w:t>
      </w:r>
      <w:r>
        <w:rPr>
          <w:szCs w:val="24"/>
          <w:lang w:eastAsia="lt-LT"/>
        </w:rPr>
        <w:t>u tokia priežiūra neįmanoma namuose.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rFonts w:eastAsia="Calibri"/>
          <w:szCs w:val="22"/>
          <w:lang w:eastAsia="lt-LT"/>
        </w:rPr>
      </w:pPr>
      <w:r>
        <w:rPr>
          <w:rFonts w:eastAsia="Calibri"/>
          <w:szCs w:val="22"/>
          <w:lang w:eastAsia="lt-LT"/>
        </w:rPr>
        <w:t>4. Pavesti valstybės lygio ekstremaliosios situacijos operacijų vadovui, gavus atsakingos ministerijos siūlymą dėl būtinų karantino priemonių nustatymo, nustatyti konkrečias karantino režimo priemones.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5. Rekomenduoti v</w:t>
      </w:r>
      <w:r>
        <w:rPr>
          <w:rFonts w:eastAsia="Calibri"/>
          <w:szCs w:val="24"/>
          <w:lang w:eastAsia="lt-LT"/>
        </w:rPr>
        <w:t>isoms Lietuvoje veikiančioms religinėms bendruomenėms neorganizuoti religinių ap</w:t>
      </w:r>
      <w:r w:rsidRPr="00455EC3">
        <w:rPr>
          <w:rFonts w:eastAsia="Calibri"/>
          <w:szCs w:val="24"/>
          <w:lang w:eastAsia="lt-LT"/>
        </w:rPr>
        <w:t>ei</w:t>
      </w:r>
      <w:r>
        <w:rPr>
          <w:rFonts w:eastAsia="Calibri"/>
          <w:szCs w:val="24"/>
          <w:lang w:eastAsia="lt-LT"/>
        </w:rPr>
        <w:t>gų, kad būtų išvengta viešų susibūrimų.</w:t>
      </w:r>
    </w:p>
    <w:p w:rsidR="00AA0428" w:rsidRDefault="00DA783F">
      <w:pPr>
        <w:tabs>
          <w:tab w:val="left" w:pos="1418"/>
        </w:tabs>
        <w:spacing w:line="360" w:lineRule="atLeast"/>
        <w:ind w:firstLine="720"/>
        <w:jc w:val="both"/>
        <w:rPr>
          <w:lang w:eastAsia="lt-LT"/>
        </w:rPr>
      </w:pPr>
      <w:r>
        <w:rPr>
          <w:lang w:eastAsia="lt-LT"/>
        </w:rPr>
        <w:t xml:space="preserve">6. Karantino režimo trukmė – nuo 2020 m. kovo </w:t>
      </w:r>
      <w:r>
        <w:rPr>
          <w:lang w:val="en-GB" w:eastAsia="lt-LT"/>
        </w:rPr>
        <w:t xml:space="preserve">16 d. </w:t>
      </w:r>
      <w:r>
        <w:rPr>
          <w:lang w:eastAsia="lt-LT"/>
        </w:rPr>
        <w:t xml:space="preserve">00 </w:t>
      </w:r>
      <w:r>
        <w:rPr>
          <w:lang w:val="en-GB" w:eastAsia="lt-LT"/>
        </w:rPr>
        <w:t xml:space="preserve">val. </w:t>
      </w:r>
      <w:r>
        <w:rPr>
          <w:lang w:eastAsia="lt-LT"/>
        </w:rPr>
        <w:t xml:space="preserve">iki kovo </w:t>
      </w:r>
      <w:r>
        <w:rPr>
          <w:lang w:val="en-GB" w:eastAsia="lt-LT"/>
        </w:rPr>
        <w:t xml:space="preserve">30 d. 24 val. </w:t>
      </w:r>
    </w:p>
    <w:p w:rsidR="00AA0428" w:rsidRDefault="00AA0428">
      <w:pPr>
        <w:tabs>
          <w:tab w:val="left" w:pos="1418"/>
        </w:tabs>
        <w:ind w:firstLine="720"/>
        <w:jc w:val="both"/>
        <w:rPr>
          <w:rFonts w:eastAsia="Calibri"/>
          <w:bCs/>
          <w:lang w:eastAsia="lt-LT"/>
        </w:rPr>
      </w:pPr>
    </w:p>
    <w:p w:rsidR="00AA0428" w:rsidRDefault="00AA0428">
      <w:pPr>
        <w:tabs>
          <w:tab w:val="left" w:pos="1418"/>
        </w:tabs>
        <w:ind w:firstLine="720"/>
        <w:jc w:val="both"/>
        <w:rPr>
          <w:rFonts w:eastAsia="Calibri"/>
          <w:bCs/>
          <w:lang w:eastAsia="lt-LT"/>
        </w:rPr>
      </w:pPr>
    </w:p>
    <w:p w:rsidR="00AA0428" w:rsidRDefault="00AA0428">
      <w:pPr>
        <w:tabs>
          <w:tab w:val="left" w:pos="1418"/>
        </w:tabs>
        <w:ind w:firstLine="720"/>
        <w:jc w:val="both"/>
        <w:rPr>
          <w:rFonts w:eastAsia="Calibri"/>
          <w:bCs/>
          <w:lang w:eastAsia="lt-LT"/>
        </w:rPr>
      </w:pPr>
    </w:p>
    <w:p w:rsidR="00AA0428" w:rsidRDefault="00DA783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  <w:r>
        <w:rPr>
          <w:lang w:eastAsia="lt-LT"/>
        </w:rPr>
        <w:t>Ministras Pirmininkas</w:t>
      </w:r>
      <w:r>
        <w:rPr>
          <w:lang w:eastAsia="lt-LT"/>
        </w:rPr>
        <w:tab/>
        <w:t>Saulius Skvernelis</w:t>
      </w:r>
    </w:p>
    <w:p w:rsidR="00AA0428" w:rsidRDefault="00AA0428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:rsidR="00AA0428" w:rsidRDefault="00AA0428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:rsidR="00AA0428" w:rsidRDefault="00AA0428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:rsidR="00AA0428" w:rsidRDefault="00DA783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  <w:r>
        <w:rPr>
          <w:lang w:eastAsia="lt-LT"/>
        </w:rPr>
        <w:t>Sve</w:t>
      </w:r>
      <w:r>
        <w:rPr>
          <w:lang w:eastAsia="lt-LT"/>
        </w:rPr>
        <w:t xml:space="preserve">ikatos apsaugos ministras </w:t>
      </w:r>
      <w:r>
        <w:rPr>
          <w:lang w:eastAsia="lt-LT"/>
        </w:rPr>
        <w:tab/>
        <w:t>Aurelijus Veryga</w:t>
      </w:r>
    </w:p>
    <w:sectPr w:rsidR="00AA0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3F" w:rsidRDefault="00DA783F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DA783F" w:rsidRDefault="00DA783F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28" w:rsidRDefault="00AA0428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28" w:rsidRDefault="00AA0428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28" w:rsidRDefault="00AA0428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3F" w:rsidRDefault="00DA783F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DA783F" w:rsidRDefault="00DA783F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28" w:rsidRDefault="00DA783F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:rsidR="00AA0428" w:rsidRDefault="00AA0428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28" w:rsidRDefault="00DA783F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455EC3">
      <w:rPr>
        <w:noProof/>
        <w:lang w:eastAsia="lt-LT"/>
      </w:rPr>
      <w:t>2</w:t>
    </w:r>
    <w:r>
      <w:rPr>
        <w:lang w:eastAsia="lt-LT"/>
      </w:rPr>
      <w:fldChar w:fldCharType="end"/>
    </w:r>
  </w:p>
  <w:p w:rsidR="00AA0428" w:rsidRDefault="00AA0428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28" w:rsidRDefault="00AA0428">
    <w:pPr>
      <w:tabs>
        <w:tab w:val="center" w:pos="4153"/>
        <w:tab w:val="right" w:pos="8306"/>
      </w:tabs>
      <w:spacing w:after="200" w:line="276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E7"/>
    <w:rsid w:val="00455EC3"/>
    <w:rsid w:val="004C66E7"/>
    <w:rsid w:val="00AA0428"/>
    <w:rsid w:val="00D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9DB0BD-1B8B-475B-ABBD-F87B291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5266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8252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Ipolit Vorobyaninoff</cp:lastModifiedBy>
  <cp:revision>2</cp:revision>
  <cp:lastPrinted>2019-09-30T12:12:00Z</cp:lastPrinted>
  <dcterms:created xsi:type="dcterms:W3CDTF">2020-03-15T15:01:00Z</dcterms:created>
  <dcterms:modified xsi:type="dcterms:W3CDTF">2020-03-15T15:01:00Z</dcterms:modified>
</cp:coreProperties>
</file>